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spacing w:lineRule="auto" w:line="36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中国农业大学“兴农杯”创新创业大赛院级评审答辩评分标准</w:t>
      </w:r>
    </w:p>
    <w:p>
      <w:pPr>
        <w:pStyle w:val="style0"/>
        <w:spacing w:lineRule="auto" w:line="360"/>
        <w:rPr>
          <w:rFonts w:ascii="FangSong" w:cs="FangSong" w:eastAsia="FangSong"/>
          <w:sz w:val="23"/>
          <w:szCs w:val="23"/>
        </w:rPr>
      </w:pPr>
    </w:p>
    <w:p>
      <w:pPr>
        <w:pStyle w:val="style0"/>
        <w:spacing w:lineRule="auto" w:line="360"/>
        <w:rPr>
          <w:rFonts w:ascii="FangSong" w:cs="FangSong" w:eastAsia="FangSong"/>
          <w:sz w:val="23"/>
          <w:szCs w:val="23"/>
        </w:rPr>
      </w:pPr>
      <w:r>
        <w:rPr>
          <w:rFonts w:ascii="FangSong" w:cs="FangSong" w:eastAsia="FangSong" w:hint="eastAsia"/>
          <w:sz w:val="23"/>
          <w:szCs w:val="23"/>
        </w:rPr>
        <w:t>评分由两部分组成：一是答辩内容得分，占</w:t>
      </w:r>
      <w:r>
        <w:rPr>
          <w:rFonts w:ascii="FangSong" w:cs="FangSong" w:eastAsia="FangSong"/>
          <w:sz w:val="23"/>
          <w:szCs w:val="23"/>
        </w:rPr>
        <w:t>70%</w:t>
      </w:r>
      <w:r>
        <w:rPr>
          <w:rFonts w:ascii="FangSong" w:cs="FangSong" w:eastAsia="FangSong" w:hint="eastAsia"/>
          <w:sz w:val="23"/>
          <w:szCs w:val="23"/>
        </w:rPr>
        <w:t>，二是现场回答提问得分，占</w:t>
      </w:r>
      <w:r>
        <w:rPr>
          <w:rFonts w:ascii="FangSong" w:cs="FangSong" w:eastAsia="FangSong"/>
          <w:sz w:val="23"/>
          <w:szCs w:val="23"/>
        </w:rPr>
        <w:t>30%</w:t>
      </w:r>
      <w:r>
        <w:rPr>
          <w:rFonts w:ascii="FangSong" w:cs="FangSong" w:eastAsia="FangSong" w:hint="eastAsia"/>
          <w:sz w:val="23"/>
          <w:szCs w:val="23"/>
        </w:rPr>
        <w:t>。</w:t>
      </w:r>
    </w:p>
    <w:tbl>
      <w:tblPr>
        <w:tblStyle w:val="style154"/>
        <w:tblpPr w:leftFromText="180" w:rightFromText="180" w:topFromText="0" w:bottomFromText="0" w:vertAnchor="page" w:horzAnchor="margin" w:tblpXSpec="center" w:tblpY="3590"/>
        <w:tblW w:w="0" w:type="auto"/>
        <w:tblLook w:val="04A0" w:firstRow="1" w:lastRow="0" w:firstColumn="1" w:lastColumn="0" w:noHBand="0" w:noVBand="1"/>
      </w:tblPr>
      <w:tblGrid>
        <w:gridCol w:w="1271"/>
        <w:gridCol w:w="11765"/>
        <w:gridCol w:w="851"/>
      </w:tblGrid>
      <w:tr>
        <w:trPr>
          <w:trHeight w:val="439" w:hRule="exact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评审要点</w:t>
            </w:r>
          </w:p>
        </w:tc>
        <w:tc>
          <w:tcPr>
            <w:tcW w:w="1176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评审内容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分值</w:t>
            </w:r>
          </w:p>
        </w:tc>
      </w:tr>
      <w:tr>
        <w:tblPrEx/>
        <w:trPr>
          <w:trHeight w:val="1140" w:hRule="exact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创新性</w:t>
            </w:r>
          </w:p>
        </w:tc>
        <w:tc>
          <w:tcPr>
            <w:tcW w:w="11765" w:type="dxa"/>
            <w:tcBorders/>
            <w:vAlign w:val="center"/>
          </w:tcPr>
          <w:p>
            <w:pPr>
              <w:pStyle w:val="style0"/>
              <w:rPr>
                <w:rFonts w:ascii="FangSong" w:cs="FangSong" w:eastAsia="FangSong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原始创意，鼓励项目与高校科技成果转移转化相结合。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项目具体创新点，介绍项目解决市场上哪种或哪类痛点，论证解决方式并提供技术和数据支撑，最后全面且客观地介绍和评价产品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服务特点、性质、如何工作等，以便判断是否有足够的价值和壁垒立足市场。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t>0</w:t>
            </w:r>
            <w:r>
              <w:t>分</w:t>
            </w:r>
          </w:p>
        </w:tc>
      </w:tr>
      <w:tr>
        <w:tblPrEx/>
        <w:trPr>
          <w:trHeight w:val="703" w:hRule="exact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社会价值</w:t>
            </w:r>
          </w:p>
        </w:tc>
        <w:tc>
          <w:tcPr>
            <w:tcW w:w="11765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对国家、社会或行业是否有重大促进作用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在精准扶贫和乡村振兴方面形成的模式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具有可复制的推广性</w:t>
            </w:r>
            <w:r>
              <w:rPr>
                <w:rFonts w:hint="eastAsia"/>
              </w:rPr>
              <w:t>；项目</w:t>
            </w:r>
            <w:r>
              <w:rPr>
                <w:rFonts w:hint="eastAsia"/>
              </w:rPr>
              <w:t>对精准扶贫脱贫和乡村振兴的贡献度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对当地</w:t>
            </w:r>
            <w:r>
              <w:rPr>
                <w:rFonts w:hint="eastAsia"/>
              </w:rPr>
              <w:t>农业生产、</w:t>
            </w:r>
            <w:r>
              <w:rPr>
                <w:rFonts w:hint="eastAsia"/>
              </w:rPr>
              <w:t>就业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环境保护与生态建设等方面的促进效果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25</w:t>
            </w:r>
            <w:r>
              <w:t>分</w:t>
            </w:r>
          </w:p>
        </w:tc>
      </w:tr>
      <w:tr>
        <w:tblPrEx/>
        <w:trPr>
          <w:trHeight w:val="2413" w:hRule="exact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商业</w:t>
            </w:r>
            <w:r>
              <w:t>性</w:t>
            </w:r>
          </w:p>
        </w:tc>
        <w:tc>
          <w:tcPr>
            <w:tcW w:w="11765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市场分析，应基于项目且针对性强。市场、技术等调查工作要形成一手资料，不鼓励文献调查，强调实践调查。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竞争分析，基于同类型的竞品分析，比如“手机类：小米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苹果”，适当阐述市场定位，产品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服务的优势，及如何防止竞争对手抢夺市场，推荐数据论证。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商业模式，强调设计的完整性与可行性，完整地描述商业模式，评测其盈利能力推导过程的合理性。在机会识别与利用、竞争与合作、技术基础、产品或服务设计、资金及人员需求、现行法律法规限制等方面具有可行性。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市场营销，介绍市场推广策略及是否已在小范围内验证，最有效的客户获取渠道和未来进一步的营销计划是否有发展潜力。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财务状况，应介绍当前业务状况及财务状况（资产负债表、现金流量表、利润表等）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未来财务预期（综合市场和项目本身综合分析）和融资计划（融资需求及资金使用规划）。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35</w:t>
            </w:r>
            <w:r>
              <w:t>分</w:t>
            </w:r>
          </w:p>
        </w:tc>
      </w:tr>
      <w:tr>
        <w:tblPrEx/>
        <w:trPr>
          <w:trHeight w:val="1715" w:hRule="exact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回答提问</w:t>
            </w:r>
          </w:p>
        </w:tc>
        <w:tc>
          <w:tcPr>
            <w:tcW w:w="11765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正确理解评委提问及时流畅作答。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回答内容连贯、条理清楚、应变能力强。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陈述和回答问题内容一致，语言清晰明了，准确可信。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整体答辩逻辑严谨、思路清晰、解释具有说服力。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对评委老师感兴趣的方面能作充分阐述。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  <w:r>
              <w:t>0</w:t>
            </w:r>
            <w:r>
              <w:t>分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panose1 w:val="00000000000000000000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Default"/>
    <w:next w:val="style4097"/>
    <w:pPr>
      <w:widowControl w:val="false"/>
      <w:autoSpaceDE w:val="false"/>
      <w:autoSpaceDN w:val="false"/>
      <w:adjustRightInd w:val="false"/>
    </w:pPr>
    <w:rPr>
      <w:rFonts w:ascii="黑体" w:cs="黑体" w:eastAsia="黑体"/>
      <w:color w:val="000000"/>
      <w:kern w:val="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761</Words>
  <Pages>2</Pages>
  <Characters>782</Characters>
  <Application>WPS Office</Application>
  <DocSecurity>0</DocSecurity>
  <Paragraphs>28</Paragraphs>
  <ScaleCrop>false</ScaleCrop>
  <LinksUpToDate>false</LinksUpToDate>
  <CharactersWithSpaces>787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2020-05-11T13:25:00Z</dcterms:created>
  <dc:creator>红星</dc:creator>
  <lastModifiedBy>VCE-AL00</lastModifiedBy>
  <dcterms:modified xsi:type="dcterms:W3CDTF">2020-05-12T02:02:17Z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